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6" w:rsidRDefault="00A8167A">
      <w:pPr>
        <w:rPr>
          <w:u w:val="single"/>
        </w:rPr>
      </w:pPr>
      <w:r>
        <w:t>IB Pre HL</w:t>
      </w:r>
      <w:r w:rsidR="003E2821">
        <w:tab/>
      </w:r>
      <w:r w:rsidR="004971A7">
        <w:t xml:space="preserve">Inverse </w:t>
      </w:r>
      <w:proofErr w:type="gramStart"/>
      <w:r w:rsidR="004971A7">
        <w:t xml:space="preserve">Trigonometric </w:t>
      </w:r>
      <w:r w:rsidR="003E2821">
        <w:t xml:space="preserve"> Functions</w:t>
      </w:r>
      <w:proofErr w:type="gramEnd"/>
      <w:r w:rsidR="00C97438">
        <w:tab/>
      </w:r>
      <w:r w:rsidR="00C97438">
        <w:tab/>
      </w:r>
      <w:r w:rsidR="003B7529">
        <w:tab/>
      </w:r>
      <w:r w:rsidR="00C97438">
        <w:t>Name</w:t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  <w:r w:rsidR="00C97438">
        <w:rPr>
          <w:u w:val="single"/>
        </w:rPr>
        <w:tab/>
      </w:r>
    </w:p>
    <w:p w:rsidR="00663C73" w:rsidRDefault="00663C73" w:rsidP="00663C73">
      <w:r>
        <w:t>Warm Up</w:t>
      </w:r>
    </w:p>
    <w:p w:rsidR="00663C73" w:rsidRDefault="00663C73" w:rsidP="00663C73">
      <w:pPr>
        <w:numPr>
          <w:ilvl w:val="0"/>
          <w:numId w:val="1"/>
        </w:numPr>
      </w:pPr>
      <w:r>
        <w:t xml:space="preserve">  Sketch a complete graph of </w:t>
      </w:r>
      <w:r w:rsidRPr="00C260EF">
        <w:rPr>
          <w:position w:val="-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pt;height:31.3pt" o:ole="">
            <v:imagedata r:id="rId5" o:title=""/>
          </v:shape>
          <o:OLEObject Type="Embed" ProgID="Equation.DSMT4" ShapeID="_x0000_i1025" DrawAspect="Content" ObjectID="_1611135570" r:id="rId6"/>
        </w:object>
      </w:r>
    </w:p>
    <w:p w:rsidR="00663C73" w:rsidRDefault="00663C73" w:rsidP="00663C73">
      <w:pPr>
        <w:ind w:left="360"/>
      </w:pPr>
    </w:p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/>
    <w:p w:rsidR="00663C73" w:rsidRDefault="00663C73" w:rsidP="00663C73">
      <w:pPr>
        <w:numPr>
          <w:ilvl w:val="0"/>
          <w:numId w:val="1"/>
        </w:numPr>
      </w:pPr>
      <w:r>
        <w:t xml:space="preserve"> Sketch a complete graph of </w:t>
      </w:r>
      <w:r w:rsidRPr="00C260EF">
        <w:rPr>
          <w:position w:val="-28"/>
        </w:rPr>
        <w:object w:dxaOrig="2140" w:dyaOrig="680">
          <v:shape id="_x0000_i1026" type="#_x0000_t75" style="width:107.05pt;height:33.65pt" o:ole="">
            <v:imagedata r:id="rId7" o:title=""/>
          </v:shape>
          <o:OLEObject Type="Embed" ProgID="Equation.DSMT4" ShapeID="_x0000_i1026" DrawAspect="Content" ObjectID="_1611135571" r:id="rId8"/>
        </w:object>
      </w: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663C73" w:rsidRDefault="00663C73">
      <w:pPr>
        <w:rPr>
          <w:u w:val="single"/>
        </w:rPr>
      </w:pPr>
    </w:p>
    <w:p w:rsidR="004971A7" w:rsidRDefault="004971A7">
      <w:pPr>
        <w:rPr>
          <w:u w:val="single"/>
        </w:rPr>
      </w:pPr>
    </w:p>
    <w:p w:rsidR="004971A7" w:rsidRDefault="004971A7">
      <w:pPr>
        <w:rPr>
          <w:u w:val="single"/>
        </w:rPr>
      </w:pPr>
      <w:r>
        <w:rPr>
          <w:u w:val="single"/>
        </w:rPr>
        <w:t>What is inverse trigonometric?</w:t>
      </w:r>
    </w:p>
    <w:p w:rsidR="00663C73" w:rsidRDefault="004971A7">
      <w:r>
        <w:rPr>
          <w:u w:val="single"/>
        </w:rPr>
        <w:t xml:space="preserve">If </w:t>
      </w:r>
      <w:r w:rsidRPr="00150B9D">
        <w:rPr>
          <w:position w:val="-28"/>
        </w:rPr>
        <w:object w:dxaOrig="1120" w:dyaOrig="660">
          <v:shape id="_x0000_i1027" type="#_x0000_t75" style="width:55.65pt;height:33.2pt" o:ole="">
            <v:imagedata r:id="rId9" o:title=""/>
          </v:shape>
          <o:OLEObject Type="Embed" ProgID="Equation.DSMT4" ShapeID="_x0000_i1027" DrawAspect="Content" ObjectID="_1611135572" r:id="rId10"/>
        </w:object>
      </w:r>
      <w:r>
        <w:t xml:space="preserve"> is given,  </w:t>
      </w:r>
      <w:r w:rsidRPr="00150B9D">
        <w:rPr>
          <w:position w:val="-6"/>
        </w:rPr>
        <w:object w:dxaOrig="200" w:dyaOrig="279">
          <v:shape id="_x0000_i1028" type="#_x0000_t75" style="width:9.8pt;height:14.5pt" o:ole="">
            <v:imagedata r:id="rId11" o:title=""/>
          </v:shape>
          <o:OLEObject Type="Embed" ProgID="Equation.DSMT4" ShapeID="_x0000_i1028" DrawAspect="Content" ObjectID="_1611135573" r:id="rId12"/>
        </w:object>
      </w:r>
      <w:r>
        <w:t xml:space="preserve"> is found </w:t>
      </w:r>
      <w:proofErr w:type="gramStart"/>
      <w:r>
        <w:t xml:space="preserve">by </w:t>
      </w:r>
      <w:proofErr w:type="gramEnd"/>
      <w:r w:rsidRPr="00150B9D">
        <w:rPr>
          <w:position w:val="-28"/>
        </w:rPr>
        <w:object w:dxaOrig="1440" w:dyaOrig="660">
          <v:shape id="_x0000_i1029" type="#_x0000_t75" style="width:1in;height:33.2pt" o:ole="">
            <v:imagedata r:id="rId13" o:title=""/>
          </v:shape>
          <o:OLEObject Type="Embed" ProgID="Equation.DSMT4" ShapeID="_x0000_i1029" DrawAspect="Content" ObjectID="_1611135574" r:id="rId14"/>
        </w:object>
      </w:r>
      <w:r>
        <w:t xml:space="preserve">.  In order not to be confused by the inverse trig </w:t>
      </w:r>
      <w:r w:rsidRPr="00150B9D">
        <w:rPr>
          <w:position w:val="-6"/>
        </w:rPr>
        <w:object w:dxaOrig="720" w:dyaOrig="320">
          <v:shape id="_x0000_i1030" type="#_x0000_t75" style="width:36.45pt;height:16.35pt" o:ole="">
            <v:imagedata r:id="rId15" o:title=""/>
          </v:shape>
          <o:OLEObject Type="Embed" ProgID="Equation.DSMT4" ShapeID="_x0000_i1030" DrawAspect="Content" ObjectID="_1611135575" r:id="rId16"/>
        </w:object>
      </w:r>
      <w:r>
        <w:t xml:space="preserve"> and the reciprocal </w:t>
      </w:r>
      <w:proofErr w:type="gramStart"/>
      <w:r>
        <w:t xml:space="preserve">trig </w:t>
      </w:r>
      <w:proofErr w:type="gramEnd"/>
      <w:r w:rsidRPr="00150B9D">
        <w:rPr>
          <w:position w:val="-24"/>
        </w:rPr>
        <w:object w:dxaOrig="580" w:dyaOrig="620">
          <v:shape id="_x0000_i1031" type="#_x0000_t75" style="width:29.45pt;height:31.3pt" o:ole="">
            <v:imagedata r:id="rId17" o:title=""/>
          </v:shape>
          <o:OLEObject Type="Embed" ProgID="Equation.DSMT4" ShapeID="_x0000_i1031" DrawAspect="Content" ObjectID="_1611135576" r:id="rId18"/>
        </w:object>
      </w:r>
      <w:r>
        <w:t xml:space="preserve">, </w:t>
      </w:r>
      <w:r w:rsidRPr="00150B9D">
        <w:rPr>
          <w:position w:val="-6"/>
        </w:rPr>
        <w:object w:dxaOrig="720" w:dyaOrig="320">
          <v:shape id="_x0000_i1032" type="#_x0000_t75" style="width:36.45pt;height:16.35pt" o:ole="">
            <v:imagedata r:id="rId15" o:title=""/>
          </v:shape>
          <o:OLEObject Type="Embed" ProgID="Equation.DSMT4" ShapeID="_x0000_i1032" DrawAspect="Content" ObjectID="_1611135577" r:id="rId19"/>
        </w:object>
      </w:r>
      <w:r>
        <w:t xml:space="preserve">is also expressed </w:t>
      </w:r>
    </w:p>
    <w:p w:rsidR="00663C73" w:rsidRDefault="00663C73"/>
    <w:p w:rsidR="00663C73" w:rsidRDefault="00663C73"/>
    <w:p w:rsidR="00663C73" w:rsidRDefault="00663C73"/>
    <w:p w:rsidR="00663C73" w:rsidRDefault="00663C73"/>
    <w:p w:rsidR="00663C73" w:rsidRDefault="00663C73"/>
    <w:p w:rsidR="004971A7" w:rsidRDefault="004971A7">
      <w:r>
        <w:t>.</w:t>
      </w:r>
    </w:p>
    <w:p w:rsidR="00B71450" w:rsidRDefault="00B71450"/>
    <w:p w:rsidR="00B71450" w:rsidRDefault="00B71450">
      <w:proofErr w:type="gramStart"/>
      <w:r>
        <w:t xml:space="preserve">Since </w:t>
      </w:r>
      <w:r w:rsidRPr="00150B9D">
        <w:rPr>
          <w:position w:val="-6"/>
        </w:rPr>
        <w:object w:dxaOrig="520" w:dyaOrig="279">
          <v:shape id="_x0000_i1033" type="#_x0000_t75" style="width:25.7pt;height:14.5pt" o:ole="">
            <v:imagedata r:id="rId20" o:title=""/>
          </v:shape>
          <o:OLEObject Type="Embed" ProgID="Equation.DSMT4" ShapeID="_x0000_i1033" DrawAspect="Content" ObjectID="_1611135578" r:id="rId21"/>
        </w:object>
      </w:r>
      <w:proofErr w:type="gramEnd"/>
      <w:r>
        <w:t xml:space="preserve">, </w:t>
      </w:r>
      <w:r w:rsidRPr="00150B9D">
        <w:rPr>
          <w:position w:val="-6"/>
        </w:rPr>
        <w:object w:dxaOrig="540" w:dyaOrig="220">
          <v:shape id="_x0000_i1034" type="#_x0000_t75" style="width:27.1pt;height:10.75pt" o:ole="">
            <v:imagedata r:id="rId22" o:title=""/>
          </v:shape>
          <o:OLEObject Type="Embed" ProgID="Equation.DSMT4" ShapeID="_x0000_i1034" DrawAspect="Content" ObjectID="_1611135579" r:id="rId23"/>
        </w:object>
      </w:r>
      <w:r>
        <w:t xml:space="preserve">, and </w:t>
      </w:r>
      <w:r w:rsidRPr="00150B9D">
        <w:rPr>
          <w:position w:val="-6"/>
        </w:rPr>
        <w:object w:dxaOrig="540" w:dyaOrig="260">
          <v:shape id="_x0000_i1035" type="#_x0000_t75" style="width:27.1pt;height:13.1pt" o:ole="">
            <v:imagedata r:id="rId24" o:title=""/>
          </v:shape>
          <o:OLEObject Type="Embed" ProgID="Equation.DSMT4" ShapeID="_x0000_i1035" DrawAspect="Content" ObjectID="_1611135580" r:id="rId25"/>
        </w:object>
      </w:r>
      <w:r>
        <w:t xml:space="preserve"> are all many to one functions , their domains must be restricted  in order for them to have inverse functions.  </w:t>
      </w:r>
    </w:p>
    <w:p w:rsidR="00B71450" w:rsidRDefault="00B71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961"/>
        <w:gridCol w:w="3074"/>
        <w:gridCol w:w="2064"/>
      </w:tblGrid>
      <w:tr w:rsidR="00B71450" w:rsidTr="00B71450">
        <w:tc>
          <w:tcPr>
            <w:tcW w:w="2754" w:type="dxa"/>
          </w:tcPr>
          <w:p w:rsidR="00B71450" w:rsidRDefault="00B71450">
            <w:r>
              <w:t>Functions</w:t>
            </w:r>
          </w:p>
        </w:tc>
        <w:tc>
          <w:tcPr>
            <w:tcW w:w="3024" w:type="dxa"/>
          </w:tcPr>
          <w:p w:rsidR="00B71450" w:rsidRDefault="00B71450">
            <w:r>
              <w:t>Invers functions</w:t>
            </w:r>
          </w:p>
        </w:tc>
        <w:tc>
          <w:tcPr>
            <w:tcW w:w="3150" w:type="dxa"/>
          </w:tcPr>
          <w:p w:rsidR="00B71450" w:rsidRDefault="00B71450">
            <w:r>
              <w:t>Definition and  domain</w:t>
            </w:r>
          </w:p>
        </w:tc>
        <w:tc>
          <w:tcPr>
            <w:tcW w:w="2088" w:type="dxa"/>
          </w:tcPr>
          <w:p w:rsidR="00B71450" w:rsidRDefault="00B71450">
            <w:r>
              <w:t>Range</w:t>
            </w:r>
          </w:p>
        </w:tc>
      </w:tr>
      <w:tr w:rsidR="00B71450" w:rsidTr="00B71450">
        <w:tc>
          <w:tcPr>
            <w:tcW w:w="2754" w:type="dxa"/>
          </w:tcPr>
          <w:p w:rsidR="00B71450" w:rsidRDefault="00B71450" w:rsidP="00B71450">
            <w:r w:rsidRPr="00150B9D">
              <w:rPr>
                <w:position w:val="-10"/>
              </w:rPr>
              <w:object w:dxaOrig="900" w:dyaOrig="320">
                <v:shape id="_x0000_i1036" type="#_x0000_t75" style="width:44.9pt;height:16.35pt" o:ole="">
                  <v:imagedata r:id="rId26" o:title=""/>
                </v:shape>
                <o:OLEObject Type="Embed" ProgID="Equation.DSMT4" ShapeID="_x0000_i1036" DrawAspect="Content" ObjectID="_1611135581" r:id="rId27"/>
              </w:object>
            </w:r>
          </w:p>
        </w:tc>
        <w:tc>
          <w:tcPr>
            <w:tcW w:w="3024" w:type="dxa"/>
          </w:tcPr>
          <w:p w:rsidR="00B71450" w:rsidRDefault="00B71450" w:rsidP="00B71450">
            <w:r w:rsidRPr="00150B9D">
              <w:rPr>
                <w:position w:val="-10"/>
              </w:rPr>
              <w:object w:dxaOrig="1200" w:dyaOrig="320">
                <v:shape id="_x0000_i1037" type="#_x0000_t75" style="width:59.4pt;height:16.35pt" o:ole="">
                  <v:imagedata r:id="rId28" o:title=""/>
                </v:shape>
                <o:OLEObject Type="Embed" ProgID="Equation.DSMT4" ShapeID="_x0000_i1037" DrawAspect="Content" ObjectID="_1611135582" r:id="rId29"/>
              </w:object>
            </w:r>
            <w:r>
              <w:t xml:space="preserve"> (</w:t>
            </w:r>
            <w:r w:rsidRPr="00150B9D">
              <w:rPr>
                <w:position w:val="-10"/>
              </w:rPr>
              <w:object w:dxaOrig="1080" w:dyaOrig="360">
                <v:shape id="_x0000_i1038" type="#_x0000_t75" style="width:54.25pt;height:18.25pt" o:ole="">
                  <v:imagedata r:id="rId30" o:title=""/>
                </v:shape>
                <o:OLEObject Type="Embed" ProgID="Equation.DSMT4" ShapeID="_x0000_i1038" DrawAspect="Content" ObjectID="_1611135583" r:id="rId31"/>
              </w:object>
            </w:r>
            <w:r>
              <w:t>)</w:t>
            </w:r>
          </w:p>
        </w:tc>
        <w:tc>
          <w:tcPr>
            <w:tcW w:w="3150" w:type="dxa"/>
          </w:tcPr>
          <w:p w:rsidR="00B71450" w:rsidRDefault="00B71450" w:rsidP="00FC6E9E">
            <w:r w:rsidRPr="00150B9D">
              <w:rPr>
                <w:position w:val="-10"/>
              </w:rPr>
              <w:object w:dxaOrig="900" w:dyaOrig="320">
                <v:shape id="_x0000_i1039" type="#_x0000_t75" style="width:44.9pt;height:16.35pt" o:ole="">
                  <v:imagedata r:id="rId32" o:title=""/>
                </v:shape>
                <o:OLEObject Type="Embed" ProgID="Equation.DSMT4" ShapeID="_x0000_i1039" DrawAspect="Content" ObjectID="_1611135584" r:id="rId33"/>
              </w:object>
            </w:r>
            <w:r w:rsidR="00FC6E9E">
              <w:t xml:space="preserve">     </w:t>
            </w:r>
            <w:r w:rsidR="00FC6E9E" w:rsidRPr="00150B9D">
              <w:rPr>
                <w:position w:val="-6"/>
              </w:rPr>
              <w:object w:dxaOrig="999" w:dyaOrig="279">
                <v:shape id="_x0000_i1040" type="#_x0000_t75" style="width:50.05pt;height:14.5pt" o:ole="">
                  <v:imagedata r:id="rId34" o:title=""/>
                </v:shape>
                <o:OLEObject Type="Embed" ProgID="Equation.DSMT4" ShapeID="_x0000_i1040" DrawAspect="Content" ObjectID="_1611135585" r:id="rId35"/>
              </w:object>
            </w:r>
          </w:p>
        </w:tc>
        <w:tc>
          <w:tcPr>
            <w:tcW w:w="2088" w:type="dxa"/>
          </w:tcPr>
          <w:p w:rsidR="00B71450" w:rsidRDefault="00FC6E9E" w:rsidP="00B71450">
            <w:r w:rsidRPr="00150B9D">
              <w:rPr>
                <w:position w:val="-24"/>
              </w:rPr>
              <w:object w:dxaOrig="1260" w:dyaOrig="620">
                <v:shape id="_x0000_i1041" type="#_x0000_t75" style="width:63.1pt;height:31.3pt" o:ole="">
                  <v:imagedata r:id="rId36" o:title=""/>
                </v:shape>
                <o:OLEObject Type="Embed" ProgID="Equation.DSMT4" ShapeID="_x0000_i1041" DrawAspect="Content" ObjectID="_1611135586" r:id="rId37"/>
              </w:object>
            </w:r>
          </w:p>
        </w:tc>
      </w:tr>
      <w:tr w:rsidR="00B71450" w:rsidTr="00B71450">
        <w:tc>
          <w:tcPr>
            <w:tcW w:w="2754" w:type="dxa"/>
          </w:tcPr>
          <w:p w:rsidR="00B71450" w:rsidRDefault="00B71450">
            <w:r w:rsidRPr="00150B9D">
              <w:rPr>
                <w:position w:val="-10"/>
              </w:rPr>
              <w:object w:dxaOrig="940" w:dyaOrig="260">
                <v:shape id="_x0000_i1042" type="#_x0000_t75" style="width:46.75pt;height:13.1pt" o:ole="">
                  <v:imagedata r:id="rId38" o:title=""/>
                </v:shape>
                <o:OLEObject Type="Embed" ProgID="Equation.DSMT4" ShapeID="_x0000_i1042" DrawAspect="Content" ObjectID="_1611135587" r:id="rId39"/>
              </w:object>
            </w:r>
          </w:p>
        </w:tc>
        <w:tc>
          <w:tcPr>
            <w:tcW w:w="3024" w:type="dxa"/>
          </w:tcPr>
          <w:p w:rsidR="00B71450" w:rsidRDefault="00B71450" w:rsidP="00B71450">
            <w:r w:rsidRPr="00150B9D">
              <w:rPr>
                <w:position w:val="-10"/>
              </w:rPr>
              <w:object w:dxaOrig="1219" w:dyaOrig="260">
                <v:shape id="_x0000_i1043" type="#_x0000_t75" style="width:61.25pt;height:13.1pt" o:ole="">
                  <v:imagedata r:id="rId40" o:title=""/>
                </v:shape>
                <o:OLEObject Type="Embed" ProgID="Equation.DSMT4" ShapeID="_x0000_i1043" DrawAspect="Content" ObjectID="_1611135588" r:id="rId41"/>
              </w:object>
            </w:r>
            <w:r>
              <w:t xml:space="preserve"> (</w:t>
            </w:r>
            <w:r w:rsidRPr="00150B9D">
              <w:rPr>
                <w:position w:val="-10"/>
              </w:rPr>
              <w:object w:dxaOrig="1120" w:dyaOrig="360">
                <v:shape id="_x0000_i1044" type="#_x0000_t75" style="width:55.65pt;height:18.25pt" o:ole="">
                  <v:imagedata r:id="rId42" o:title=""/>
                </v:shape>
                <o:OLEObject Type="Embed" ProgID="Equation.DSMT4" ShapeID="_x0000_i1044" DrawAspect="Content" ObjectID="_1611135589" r:id="rId43"/>
              </w:object>
            </w:r>
            <w:r>
              <w:t>)</w:t>
            </w:r>
          </w:p>
        </w:tc>
        <w:tc>
          <w:tcPr>
            <w:tcW w:w="3150" w:type="dxa"/>
          </w:tcPr>
          <w:p w:rsidR="00B71450" w:rsidRDefault="00B71450">
            <w:r w:rsidRPr="00150B9D">
              <w:rPr>
                <w:position w:val="-10"/>
              </w:rPr>
              <w:object w:dxaOrig="940" w:dyaOrig="260">
                <v:shape id="_x0000_i1045" type="#_x0000_t75" style="width:46.75pt;height:13.1pt" o:ole="">
                  <v:imagedata r:id="rId44" o:title=""/>
                </v:shape>
                <o:OLEObject Type="Embed" ProgID="Equation.DSMT4" ShapeID="_x0000_i1045" DrawAspect="Content" ObjectID="_1611135590" r:id="rId45"/>
              </w:object>
            </w:r>
            <w:r w:rsidR="00FC6E9E">
              <w:t xml:space="preserve">     </w:t>
            </w:r>
            <w:r w:rsidR="00FC6E9E" w:rsidRPr="00150B9D">
              <w:rPr>
                <w:position w:val="-6"/>
              </w:rPr>
              <w:object w:dxaOrig="999" w:dyaOrig="279">
                <v:shape id="_x0000_i1046" type="#_x0000_t75" style="width:50.05pt;height:14.5pt" o:ole="">
                  <v:imagedata r:id="rId46" o:title=""/>
                </v:shape>
                <o:OLEObject Type="Embed" ProgID="Equation.DSMT4" ShapeID="_x0000_i1046" DrawAspect="Content" ObjectID="_1611135591" r:id="rId47"/>
              </w:object>
            </w:r>
          </w:p>
        </w:tc>
        <w:tc>
          <w:tcPr>
            <w:tcW w:w="2088" w:type="dxa"/>
          </w:tcPr>
          <w:p w:rsidR="00B71450" w:rsidRDefault="00FC6E9E">
            <w:r w:rsidRPr="00150B9D">
              <w:rPr>
                <w:position w:val="-10"/>
              </w:rPr>
              <w:object w:dxaOrig="980" w:dyaOrig="320">
                <v:shape id="_x0000_i1047" type="#_x0000_t75" style="width:48.6pt;height:16.35pt" o:ole="">
                  <v:imagedata r:id="rId48" o:title=""/>
                </v:shape>
                <o:OLEObject Type="Embed" ProgID="Equation.DSMT4" ShapeID="_x0000_i1047" DrawAspect="Content" ObjectID="_1611135592" r:id="rId49"/>
              </w:object>
            </w:r>
          </w:p>
        </w:tc>
      </w:tr>
      <w:tr w:rsidR="00B71450" w:rsidTr="00B71450">
        <w:tc>
          <w:tcPr>
            <w:tcW w:w="2754" w:type="dxa"/>
          </w:tcPr>
          <w:p w:rsidR="00B71450" w:rsidRDefault="00B71450">
            <w:r w:rsidRPr="00150B9D">
              <w:rPr>
                <w:position w:val="-10"/>
              </w:rPr>
              <w:object w:dxaOrig="920" w:dyaOrig="300">
                <v:shape id="_x0000_i1048" type="#_x0000_t75" style="width:46.3pt;height:14.95pt" o:ole="">
                  <v:imagedata r:id="rId50" o:title=""/>
                </v:shape>
                <o:OLEObject Type="Embed" ProgID="Equation.DSMT4" ShapeID="_x0000_i1048" DrawAspect="Content" ObjectID="_1611135593" r:id="rId51"/>
              </w:object>
            </w:r>
          </w:p>
        </w:tc>
        <w:tc>
          <w:tcPr>
            <w:tcW w:w="3024" w:type="dxa"/>
          </w:tcPr>
          <w:p w:rsidR="00B71450" w:rsidRDefault="00B71450" w:rsidP="00B71450">
            <w:r w:rsidRPr="00150B9D">
              <w:rPr>
                <w:position w:val="-10"/>
              </w:rPr>
              <w:object w:dxaOrig="1219" w:dyaOrig="300">
                <v:shape id="_x0000_i1049" type="#_x0000_t75" style="width:61.25pt;height:14.95pt" o:ole="">
                  <v:imagedata r:id="rId52" o:title=""/>
                </v:shape>
                <o:OLEObject Type="Embed" ProgID="Equation.DSMT4" ShapeID="_x0000_i1049" DrawAspect="Content" ObjectID="_1611135594" r:id="rId53"/>
              </w:object>
            </w:r>
            <w:r>
              <w:t xml:space="preserve"> (</w:t>
            </w:r>
            <w:r w:rsidRPr="00150B9D">
              <w:rPr>
                <w:position w:val="-10"/>
              </w:rPr>
              <w:object w:dxaOrig="1100" w:dyaOrig="360">
                <v:shape id="_x0000_i1050" type="#_x0000_t75" style="width:55.15pt;height:18.25pt" o:ole="">
                  <v:imagedata r:id="rId54" o:title=""/>
                </v:shape>
                <o:OLEObject Type="Embed" ProgID="Equation.DSMT4" ShapeID="_x0000_i1050" DrawAspect="Content" ObjectID="_1611135595" r:id="rId55"/>
              </w:object>
            </w:r>
            <w:r>
              <w:t>)</w:t>
            </w:r>
          </w:p>
        </w:tc>
        <w:tc>
          <w:tcPr>
            <w:tcW w:w="3150" w:type="dxa"/>
          </w:tcPr>
          <w:p w:rsidR="00B71450" w:rsidRDefault="00B71450" w:rsidP="00FC6E9E">
            <w:r w:rsidRPr="00150B9D">
              <w:rPr>
                <w:position w:val="-10"/>
              </w:rPr>
              <w:object w:dxaOrig="920" w:dyaOrig="300">
                <v:shape id="_x0000_i1051" type="#_x0000_t75" style="width:46.3pt;height:14.95pt" o:ole="">
                  <v:imagedata r:id="rId56" o:title=""/>
                </v:shape>
                <o:OLEObject Type="Embed" ProgID="Equation.DSMT4" ShapeID="_x0000_i1051" DrawAspect="Content" ObjectID="_1611135596" r:id="rId57"/>
              </w:object>
            </w:r>
            <w:r w:rsidR="00FC6E9E">
              <w:t xml:space="preserve">         </w:t>
            </w:r>
            <w:r w:rsidR="00FC6E9E" w:rsidRPr="00150B9D">
              <w:rPr>
                <w:position w:val="-6"/>
              </w:rPr>
              <w:object w:dxaOrig="600" w:dyaOrig="279">
                <v:shape id="_x0000_i1052" type="#_x0000_t75" style="width:29.9pt;height:14.5pt" o:ole="">
                  <v:imagedata r:id="rId58" o:title=""/>
                </v:shape>
                <o:OLEObject Type="Embed" ProgID="Equation.DSMT4" ShapeID="_x0000_i1052" DrawAspect="Content" ObjectID="_1611135597" r:id="rId59"/>
              </w:object>
            </w:r>
          </w:p>
        </w:tc>
        <w:tc>
          <w:tcPr>
            <w:tcW w:w="2088" w:type="dxa"/>
          </w:tcPr>
          <w:p w:rsidR="00B71450" w:rsidRDefault="00FC6E9E">
            <w:r w:rsidRPr="00150B9D">
              <w:rPr>
                <w:position w:val="-24"/>
              </w:rPr>
              <w:object w:dxaOrig="1260" w:dyaOrig="620">
                <v:shape id="_x0000_i1053" type="#_x0000_t75" style="width:63.1pt;height:31.3pt" o:ole="">
                  <v:imagedata r:id="rId36" o:title=""/>
                </v:shape>
                <o:OLEObject Type="Embed" ProgID="Equation.DSMT4" ShapeID="_x0000_i1053" DrawAspect="Content" ObjectID="_1611135598" r:id="rId60"/>
              </w:object>
            </w:r>
          </w:p>
        </w:tc>
      </w:tr>
    </w:tbl>
    <w:p w:rsidR="00B71450" w:rsidRDefault="00B71450"/>
    <w:p w:rsidR="00B71450" w:rsidRDefault="00B71450"/>
    <w:p w:rsidR="00B71450" w:rsidRDefault="00B71450"/>
    <w:p w:rsidR="008521B5" w:rsidRDefault="008521B5">
      <w:bookmarkStart w:id="0" w:name="_GoBack"/>
      <w:bookmarkEnd w:id="0"/>
    </w:p>
    <w:p w:rsidR="00B71450" w:rsidRDefault="00FC6E9E" w:rsidP="00B71450">
      <w:pPr>
        <w:jc w:val="center"/>
        <w:rPr>
          <w:noProof/>
        </w:rPr>
      </w:pPr>
      <w:r>
        <w:rPr>
          <w:noProof/>
        </w:rPr>
        <w:lastRenderedPageBreak/>
        <w:t>The graphs of these inverse functions.</w:t>
      </w:r>
    </w:p>
    <w:p w:rsidR="00FC6E9E" w:rsidRDefault="00FC6E9E" w:rsidP="00B71450">
      <w:pPr>
        <w:jc w:val="center"/>
      </w:pPr>
      <w:r>
        <w:rPr>
          <w:noProof/>
        </w:rPr>
        <w:drawing>
          <wp:inline distT="0" distB="0" distL="0" distR="0" wp14:anchorId="518A8331" wp14:editId="7766DFAB">
            <wp:extent cx="6484420" cy="2061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486394" cy="206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A7" w:rsidRDefault="004971A7"/>
    <w:p w:rsidR="00881941" w:rsidRDefault="00881941"/>
    <w:p w:rsidR="00881941" w:rsidRDefault="00881941"/>
    <w:p w:rsidR="00FC6E9E" w:rsidRDefault="00FC6E9E">
      <w:r>
        <w:t>Example 1</w:t>
      </w:r>
      <w:proofErr w:type="gramStart"/>
      <w:r>
        <w:t>)  Find</w:t>
      </w:r>
      <w:proofErr w:type="gramEnd"/>
      <w:r>
        <w:t xml:space="preserve"> the exact value of  </w:t>
      </w:r>
      <w:r w:rsidRPr="00150B9D">
        <w:rPr>
          <w:position w:val="-24"/>
        </w:rPr>
        <w:object w:dxaOrig="1140" w:dyaOrig="620">
          <v:shape id="_x0000_i1054" type="#_x0000_t75" style="width:57.05pt;height:31.3pt" o:ole="">
            <v:imagedata r:id="rId62" o:title=""/>
          </v:shape>
          <o:OLEObject Type="Embed" ProgID="Equation.DSMT4" ShapeID="_x0000_i1054" DrawAspect="Content" ObjectID="_1611135599" r:id="rId63"/>
        </w:object>
      </w:r>
      <w:r>
        <w:t>.</w:t>
      </w:r>
    </w:p>
    <w:p w:rsidR="00FC6E9E" w:rsidRDefault="00FC6E9E"/>
    <w:p w:rsidR="00FC6E9E" w:rsidRDefault="00FC6E9E"/>
    <w:p w:rsidR="00FC6E9E" w:rsidRDefault="00FC6E9E"/>
    <w:p w:rsidR="00FC6E9E" w:rsidRDefault="00FC6E9E"/>
    <w:p w:rsidR="00FC6E9E" w:rsidRDefault="00FC6E9E"/>
    <w:p w:rsidR="00FC6E9E" w:rsidRDefault="00FC6E9E"/>
    <w:p w:rsidR="00FC6E9E" w:rsidRDefault="00FC6E9E">
      <w:r>
        <w:t>Example 2</w:t>
      </w:r>
      <w:proofErr w:type="gramStart"/>
      <w:r>
        <w:t>)  Find</w:t>
      </w:r>
      <w:proofErr w:type="gramEnd"/>
      <w:r>
        <w:t xml:space="preserve"> the exact value of </w:t>
      </w:r>
      <w:r w:rsidRPr="00150B9D">
        <w:rPr>
          <w:position w:val="-24"/>
        </w:rPr>
        <w:object w:dxaOrig="1480" w:dyaOrig="620">
          <v:shape id="_x0000_i1055" type="#_x0000_t75" style="width:73.85pt;height:31.3pt" o:ole="">
            <v:imagedata r:id="rId64" o:title=""/>
          </v:shape>
          <o:OLEObject Type="Embed" ProgID="Equation.DSMT4" ShapeID="_x0000_i1055" DrawAspect="Content" ObjectID="_1611135600" r:id="rId65"/>
        </w:object>
      </w:r>
    </w:p>
    <w:p w:rsidR="00881941" w:rsidRDefault="00881941"/>
    <w:p w:rsidR="00881941" w:rsidRDefault="00881941"/>
    <w:p w:rsidR="00881941" w:rsidRDefault="00881941"/>
    <w:p w:rsidR="00881941" w:rsidRDefault="00881941"/>
    <w:p w:rsidR="00881941" w:rsidRDefault="00881941">
      <w:r>
        <w:t xml:space="preserve">Practice)  </w:t>
      </w:r>
    </w:p>
    <w:p w:rsidR="00881941" w:rsidRDefault="00881941">
      <w:r>
        <w:rPr>
          <w:noProof/>
        </w:rPr>
        <w:drawing>
          <wp:inline distT="0" distB="0" distL="0" distR="0">
            <wp:extent cx="5127724" cy="2182483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55" cy="21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9E" w:rsidRDefault="00FC6E9E"/>
    <w:p w:rsidR="00FC6E9E" w:rsidRDefault="00FC6E9E"/>
    <w:p w:rsidR="005E063A" w:rsidRDefault="00881941">
      <w:pPr>
        <w:rPr>
          <w:u w:val="single"/>
        </w:rPr>
      </w:pPr>
      <w:r>
        <w:rPr>
          <w:noProof/>
        </w:rPr>
        <w:drawing>
          <wp:inline distT="0" distB="0" distL="0" distR="0" wp14:anchorId="67FE6D0C" wp14:editId="708E87EC">
            <wp:extent cx="5943600" cy="8585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63A" w:rsidSect="009F5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2FE"/>
    <w:multiLevelType w:val="hybridMultilevel"/>
    <w:tmpl w:val="B9D467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1"/>
    <w:rsid w:val="00192EEE"/>
    <w:rsid w:val="00221820"/>
    <w:rsid w:val="00235A8B"/>
    <w:rsid w:val="003B7529"/>
    <w:rsid w:val="003E2821"/>
    <w:rsid w:val="00422102"/>
    <w:rsid w:val="004971A7"/>
    <w:rsid w:val="004B289A"/>
    <w:rsid w:val="00542742"/>
    <w:rsid w:val="005E063A"/>
    <w:rsid w:val="00663C73"/>
    <w:rsid w:val="0068048E"/>
    <w:rsid w:val="0079582C"/>
    <w:rsid w:val="007E2124"/>
    <w:rsid w:val="00837241"/>
    <w:rsid w:val="00845296"/>
    <w:rsid w:val="008521B5"/>
    <w:rsid w:val="008629EF"/>
    <w:rsid w:val="00881941"/>
    <w:rsid w:val="009F00CB"/>
    <w:rsid w:val="009F5BCA"/>
    <w:rsid w:val="00A8167A"/>
    <w:rsid w:val="00B71450"/>
    <w:rsid w:val="00C17599"/>
    <w:rsid w:val="00C843F5"/>
    <w:rsid w:val="00C97438"/>
    <w:rsid w:val="00CC2C73"/>
    <w:rsid w:val="00D46A6B"/>
    <w:rsid w:val="00D61A38"/>
    <w:rsid w:val="00E063F1"/>
    <w:rsid w:val="00E53AB9"/>
    <w:rsid w:val="00FC6DF3"/>
    <w:rsid w:val="00F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456C1F16"/>
  <w15:docId w15:val="{9C5DAE96-8536-46CA-B1B8-514D6B83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e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image" Target="media/image28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2.png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2019-02-08T20:50:00Z</cp:lastPrinted>
  <dcterms:created xsi:type="dcterms:W3CDTF">2019-02-08T20:53:00Z</dcterms:created>
  <dcterms:modified xsi:type="dcterms:W3CDTF">2019-02-08T20:53:00Z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