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744" w:rsidRPr="00655744" w:rsidRDefault="00655744" w:rsidP="007D1B3D">
      <w:pPr>
        <w:rPr>
          <w:rFonts w:ascii="Calibri" w:hAnsi="Calibri"/>
          <w:b/>
          <w:i/>
          <w:sz w:val="22"/>
          <w:szCs w:val="22"/>
        </w:rPr>
      </w:pPr>
      <w:r w:rsidRPr="00655744">
        <w:rPr>
          <w:rFonts w:ascii="Calibri" w:hAnsi="Calibri"/>
          <w:b/>
          <w:i/>
          <w:sz w:val="22"/>
          <w:szCs w:val="22"/>
        </w:rPr>
        <w:t>Goal:  Understanding the IA assignment by reading the sample work.</w:t>
      </w:r>
    </w:p>
    <w:p w:rsidR="00655744" w:rsidRPr="00655744" w:rsidRDefault="00655744" w:rsidP="007D1B3D">
      <w:pPr>
        <w:rPr>
          <w:rFonts w:ascii="Calibri" w:hAnsi="Calibri"/>
          <w:b/>
          <w:i/>
          <w:sz w:val="22"/>
          <w:szCs w:val="22"/>
        </w:rPr>
      </w:pPr>
      <w:r w:rsidRPr="00655744">
        <w:rPr>
          <w:rFonts w:ascii="Calibri" w:hAnsi="Calibri"/>
          <w:b/>
          <w:i/>
          <w:sz w:val="22"/>
          <w:szCs w:val="22"/>
        </w:rPr>
        <w:t>Read at least two IA samples and assess the work following the IB rubric provided.  For each category, explain why re reward such mark.</w:t>
      </w:r>
      <w:bookmarkStart w:id="0" w:name="_GoBack"/>
      <w:bookmarkEnd w:id="0"/>
    </w:p>
    <w:p w:rsidR="007D1B3D" w:rsidRPr="008A6678" w:rsidRDefault="007D1B3D" w:rsidP="007D1B3D">
      <w:pPr>
        <w:rPr>
          <w:rFonts w:ascii="Calibri" w:hAnsi="Calibri"/>
          <w:sz w:val="22"/>
          <w:szCs w:val="22"/>
        </w:rPr>
      </w:pPr>
      <w:r w:rsidRPr="008A6678">
        <w:rPr>
          <w:rFonts w:ascii="Calibri" w:hAnsi="Calibri"/>
          <w:sz w:val="22"/>
          <w:szCs w:val="22"/>
        </w:rPr>
        <w:t xml:space="preserve">IB Math </w:t>
      </w:r>
      <w:r>
        <w:rPr>
          <w:rFonts w:ascii="Calibri" w:hAnsi="Calibri"/>
          <w:sz w:val="22"/>
          <w:szCs w:val="22"/>
        </w:rPr>
        <w:t>HL</w:t>
      </w:r>
      <w:r w:rsidR="00DA0709">
        <w:rPr>
          <w:rFonts w:ascii="Calibri" w:hAnsi="Calibri"/>
          <w:sz w:val="22"/>
          <w:szCs w:val="22"/>
        </w:rPr>
        <w:t xml:space="preserve"> Exploration</w:t>
      </w:r>
      <w:r w:rsidRPr="008A6678">
        <w:rPr>
          <w:rFonts w:ascii="Calibri" w:hAnsi="Calibri"/>
          <w:sz w:val="22"/>
          <w:szCs w:val="22"/>
        </w:rPr>
        <w:t xml:space="preserve"> Rubric</w:t>
      </w:r>
      <w:r w:rsidR="00714F58">
        <w:rPr>
          <w:rFonts w:ascii="Calibri" w:hAnsi="Calibri"/>
          <w:sz w:val="22"/>
          <w:szCs w:val="22"/>
        </w:rPr>
        <w:tab/>
      </w:r>
      <w:r>
        <w:rPr>
          <w:rFonts w:ascii="Calibri" w:hAnsi="Calibri"/>
          <w:sz w:val="22"/>
          <w:szCs w:val="22"/>
        </w:rPr>
        <w:tab/>
      </w:r>
      <w:r w:rsidR="00DA0709">
        <w:rPr>
          <w:rFonts w:ascii="Calibri" w:hAnsi="Calibri"/>
          <w:sz w:val="22"/>
          <w:szCs w:val="22"/>
        </w:rPr>
        <w:t>Name____________________</w:t>
      </w:r>
      <w:r>
        <w:rPr>
          <w:rFonts w:ascii="Calibri" w:hAnsi="Calibri"/>
          <w:sz w:val="22"/>
          <w:szCs w:val="22"/>
        </w:rPr>
        <w:t>_______</w:t>
      </w:r>
      <w:r w:rsidRPr="008A6678">
        <w:rPr>
          <w:rFonts w:ascii="Calibri" w:hAnsi="Calibri"/>
          <w:sz w:val="22"/>
          <w:szCs w:val="22"/>
        </w:rPr>
        <w:t xml:space="preserve"> Period_____</w:t>
      </w:r>
      <w:r>
        <w:rPr>
          <w:rFonts w:ascii="Calibri" w:hAnsi="Calibri"/>
          <w:sz w:val="22"/>
          <w:szCs w:val="22"/>
        </w:rPr>
        <w:t xml:space="preserve"> </w:t>
      </w:r>
      <w:proofErr w:type="gramStart"/>
      <w:r>
        <w:rPr>
          <w:rFonts w:ascii="Calibri" w:hAnsi="Calibri"/>
          <w:sz w:val="22"/>
          <w:szCs w:val="22"/>
        </w:rPr>
        <w:t>Total  Marks</w:t>
      </w:r>
      <w:proofErr w:type="gramEnd"/>
      <w:r>
        <w:rPr>
          <w:rFonts w:ascii="Calibri" w:hAnsi="Calibri"/>
          <w:sz w:val="22"/>
          <w:szCs w:val="22"/>
        </w:rPr>
        <w:t>_____</w:t>
      </w:r>
      <w:r w:rsidRPr="008A6678">
        <w:rPr>
          <w:rFonts w:ascii="Calibri" w:hAnsi="Calibri"/>
          <w:sz w:val="22"/>
          <w:szCs w:val="22"/>
        </w:rPr>
        <w:t>_/</w:t>
      </w:r>
      <w:r w:rsidR="00DA0709">
        <w:rPr>
          <w:rFonts w:ascii="Calibri" w:hAnsi="Calibri"/>
          <w:sz w:val="22"/>
          <w:szCs w:val="22"/>
        </w:rPr>
        <w:t>2</w:t>
      </w:r>
      <w:r>
        <w:rPr>
          <w:rFonts w:ascii="Calibri" w:hAnsi="Calibri"/>
          <w:sz w:val="22"/>
          <w:szCs w:val="22"/>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800"/>
        <w:gridCol w:w="2195"/>
        <w:gridCol w:w="1340"/>
      </w:tblGrid>
      <w:tr w:rsidR="007D1B3D" w:rsidRPr="008A6678" w:rsidTr="00852DD8">
        <w:tc>
          <w:tcPr>
            <w:tcW w:w="9648" w:type="dxa"/>
            <w:gridSpan w:val="3"/>
            <w:tcBorders>
              <w:top w:val="nil"/>
              <w:left w:val="nil"/>
              <w:bottom w:val="single" w:sz="4" w:space="0" w:color="auto"/>
              <w:right w:val="nil"/>
            </w:tcBorders>
          </w:tcPr>
          <w:p w:rsidR="00D02315" w:rsidRPr="00E119C6" w:rsidRDefault="00D02315" w:rsidP="00D02315">
            <w:pPr>
              <w:jc w:val="right"/>
              <w:rPr>
                <w:rFonts w:ascii="Calibri" w:hAnsi="Calibri"/>
                <w:sz w:val="22"/>
                <w:szCs w:val="22"/>
              </w:rPr>
            </w:pPr>
          </w:p>
        </w:tc>
        <w:tc>
          <w:tcPr>
            <w:tcW w:w="1368" w:type="dxa"/>
            <w:tcBorders>
              <w:top w:val="nil"/>
              <w:left w:val="nil"/>
              <w:bottom w:val="single" w:sz="4" w:space="0" w:color="auto"/>
              <w:right w:val="nil"/>
            </w:tcBorders>
          </w:tcPr>
          <w:p w:rsidR="00D02315" w:rsidRPr="008A6678" w:rsidRDefault="00D02315" w:rsidP="00852DD8">
            <w:pPr>
              <w:rPr>
                <w:rFonts w:ascii="Calibri" w:hAnsi="Calibri"/>
                <w:sz w:val="22"/>
                <w:szCs w:val="22"/>
              </w:rPr>
            </w:pPr>
          </w:p>
        </w:tc>
      </w:tr>
      <w:tr w:rsidR="007D1B3D" w:rsidRPr="008A6678" w:rsidTr="00852DD8">
        <w:tc>
          <w:tcPr>
            <w:tcW w:w="7398" w:type="dxa"/>
            <w:gridSpan w:val="2"/>
            <w:tcBorders>
              <w:top w:val="single" w:sz="4" w:space="0" w:color="auto"/>
            </w:tcBorders>
          </w:tcPr>
          <w:p w:rsidR="007D1B3D" w:rsidRDefault="007D1B3D" w:rsidP="00852DD8">
            <w:pPr>
              <w:widowControl w:val="0"/>
              <w:autoSpaceDE w:val="0"/>
              <w:autoSpaceDN w:val="0"/>
              <w:adjustRightInd w:val="0"/>
              <w:rPr>
                <w:rFonts w:ascii="Calibri" w:hAnsi="Calibri" w:cs="Helvetica Neue"/>
                <w:color w:val="1A1A1A"/>
                <w:sz w:val="22"/>
                <w:szCs w:val="22"/>
              </w:rPr>
            </w:pPr>
            <w:r w:rsidRPr="008A6678">
              <w:rPr>
                <w:rFonts w:ascii="Calibri" w:hAnsi="Calibri" w:cs="Calibri"/>
                <w:b/>
                <w:bCs/>
                <w:sz w:val="22"/>
                <w:szCs w:val="22"/>
              </w:rPr>
              <w:t>A: COMMUNICATION (4)</w:t>
            </w:r>
            <w:r w:rsidRPr="008A6678">
              <w:rPr>
                <w:rFonts w:ascii="Calibri" w:hAnsi="Calibri" w:cs="Helvetica Neue"/>
                <w:color w:val="1A1A1A"/>
                <w:sz w:val="22"/>
                <w:szCs w:val="22"/>
              </w:rPr>
              <w:t xml:space="preserve"> </w:t>
            </w:r>
          </w:p>
          <w:p w:rsidR="007D1B3D" w:rsidRPr="008A6678" w:rsidRDefault="007D1B3D" w:rsidP="00852DD8">
            <w:pPr>
              <w:widowControl w:val="0"/>
              <w:autoSpaceDE w:val="0"/>
              <w:autoSpaceDN w:val="0"/>
              <w:adjustRightInd w:val="0"/>
              <w:spacing w:after="120"/>
              <w:rPr>
                <w:rFonts w:ascii="Calibri" w:hAnsi="Calibri" w:cs="Helvetica Neue"/>
                <w:color w:val="1A1A1A"/>
                <w:sz w:val="22"/>
                <w:szCs w:val="22"/>
              </w:rPr>
            </w:pPr>
            <w:r w:rsidRPr="008A6678">
              <w:rPr>
                <w:rFonts w:ascii="Calibri" w:hAnsi="Calibri" w:cs="Helvetica Neue"/>
                <w:color w:val="1A1A1A"/>
                <w:sz w:val="22"/>
                <w:szCs w:val="22"/>
              </w:rPr>
              <w:t>This criterion assesses the organization and coherence of the exploration. A well-organized exploration contains an introduction, has a rationale (which includes explaining why this topic was chosen), describes the aim of the exploration and has a conclusion. A coherent exploration is logically developed and easy to follow.</w:t>
            </w:r>
          </w:p>
          <w:p w:rsidR="007D1B3D" w:rsidRPr="00DA1196" w:rsidRDefault="007D1B3D" w:rsidP="00852DD8">
            <w:pPr>
              <w:rPr>
                <w:rFonts w:ascii="Calibri" w:hAnsi="Calibri" w:cs="Helvetica Neue"/>
                <w:iCs/>
                <w:color w:val="1A1A1A"/>
                <w:sz w:val="22"/>
                <w:szCs w:val="22"/>
              </w:rPr>
            </w:pPr>
            <w:r w:rsidRPr="008A6678">
              <w:rPr>
                <w:rFonts w:ascii="Calibri" w:hAnsi="Calibri" w:cs="Helvetica Neue"/>
                <w:iCs/>
                <w:color w:val="1A1A1A"/>
                <w:sz w:val="22"/>
                <w:szCs w:val="22"/>
              </w:rPr>
              <w:t>Graphs, tables and diagrams should accompany the work in the appropriate place and not be attached as appendices to the document.</w:t>
            </w:r>
          </w:p>
        </w:tc>
        <w:tc>
          <w:tcPr>
            <w:tcW w:w="3618" w:type="dxa"/>
            <w:gridSpan w:val="2"/>
            <w:vMerge w:val="restart"/>
            <w:tcBorders>
              <w:top w:val="single" w:sz="4" w:space="0" w:color="auto"/>
            </w:tcBorders>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0</w:t>
            </w:r>
          </w:p>
        </w:tc>
        <w:tc>
          <w:tcPr>
            <w:tcW w:w="6930" w:type="dxa"/>
          </w:tcPr>
          <w:p w:rsidR="007D1B3D" w:rsidRPr="008A6678" w:rsidRDefault="007D1B3D" w:rsidP="00852DD8">
            <w:pPr>
              <w:rPr>
                <w:rFonts w:ascii="Calibri" w:hAnsi="Calibri"/>
                <w:sz w:val="22"/>
                <w:szCs w:val="22"/>
              </w:rPr>
            </w:pPr>
            <w:r w:rsidRPr="008A6678">
              <w:rPr>
                <w:rFonts w:ascii="Calibri" w:hAnsi="Calibri" w:cs="Calibri"/>
                <w:sz w:val="22"/>
                <w:szCs w:val="22"/>
              </w:rPr>
              <w:t>The exploration does not reach the standard described by the descriptors</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1</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 exploration has some coherence.</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2</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 exploration has some coherence and shows some organization.</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3</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 exploration is coherent and well organized.</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4</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 exploration is coherent, well organized, concise and complete.</w:t>
            </w:r>
          </w:p>
        </w:tc>
        <w:tc>
          <w:tcPr>
            <w:tcW w:w="3618" w:type="dxa"/>
            <w:gridSpan w:val="2"/>
            <w:vMerge/>
            <w:tcBorders>
              <w:bottom w:val="nil"/>
            </w:tcBorders>
          </w:tcPr>
          <w:p w:rsidR="007D1B3D" w:rsidRPr="008A6678" w:rsidRDefault="007D1B3D" w:rsidP="00852DD8">
            <w:pPr>
              <w:rPr>
                <w:rFonts w:ascii="Calibri" w:hAnsi="Calibri"/>
                <w:sz w:val="22"/>
                <w:szCs w:val="22"/>
              </w:rPr>
            </w:pPr>
          </w:p>
        </w:tc>
      </w:tr>
      <w:tr w:rsidR="007D1B3D" w:rsidRPr="008A6678" w:rsidTr="00852DD8">
        <w:tc>
          <w:tcPr>
            <w:tcW w:w="7398" w:type="dxa"/>
            <w:gridSpan w:val="2"/>
          </w:tcPr>
          <w:p w:rsidR="007D1B3D" w:rsidRPr="008A6678" w:rsidRDefault="007D1B3D" w:rsidP="00852DD8">
            <w:pPr>
              <w:rPr>
                <w:rFonts w:ascii="Calibri" w:hAnsi="Calibri" w:cs="Calibri"/>
                <w:b/>
                <w:bCs/>
                <w:sz w:val="22"/>
                <w:szCs w:val="22"/>
              </w:rPr>
            </w:pPr>
            <w:r w:rsidRPr="008A6678">
              <w:rPr>
                <w:rFonts w:ascii="Calibri" w:hAnsi="Calibri" w:cs="Calibri"/>
                <w:b/>
                <w:bCs/>
                <w:sz w:val="22"/>
                <w:szCs w:val="22"/>
              </w:rPr>
              <w:t>B: MATHEMATICAL PRESENTATION (3)</w:t>
            </w:r>
          </w:p>
          <w:p w:rsidR="007D1B3D" w:rsidRPr="008A6678" w:rsidRDefault="007D1B3D" w:rsidP="00852DD8">
            <w:pPr>
              <w:widowControl w:val="0"/>
              <w:autoSpaceDE w:val="0"/>
              <w:autoSpaceDN w:val="0"/>
              <w:adjustRightInd w:val="0"/>
              <w:rPr>
                <w:rFonts w:ascii="Calibri" w:hAnsi="Calibri" w:cs="Helvetica Neue"/>
                <w:color w:val="1A1A1A"/>
                <w:sz w:val="22"/>
                <w:szCs w:val="22"/>
              </w:rPr>
            </w:pPr>
            <w:r w:rsidRPr="008A6678">
              <w:rPr>
                <w:rFonts w:ascii="Calibri" w:hAnsi="Calibri" w:cs="Helvetica Neue"/>
                <w:color w:val="1A1A1A"/>
                <w:sz w:val="22"/>
                <w:szCs w:val="22"/>
              </w:rPr>
              <w:t>This criterion assesses to what extent the student is able to:</w:t>
            </w:r>
          </w:p>
          <w:p w:rsidR="007D1B3D" w:rsidRPr="008A6678" w:rsidRDefault="007D1B3D" w:rsidP="007D1B3D">
            <w:pPr>
              <w:widowControl w:val="0"/>
              <w:numPr>
                <w:ilvl w:val="0"/>
                <w:numId w:val="1"/>
              </w:numPr>
              <w:tabs>
                <w:tab w:val="left" w:pos="258"/>
              </w:tabs>
              <w:autoSpaceDE w:val="0"/>
              <w:autoSpaceDN w:val="0"/>
              <w:adjustRightInd w:val="0"/>
              <w:spacing w:line="240" w:lineRule="auto"/>
              <w:ind w:left="258" w:hanging="258"/>
              <w:rPr>
                <w:rFonts w:ascii="Calibri" w:hAnsi="Calibri" w:cs="Helvetica Neue"/>
                <w:color w:val="1A1A1A"/>
                <w:sz w:val="22"/>
                <w:szCs w:val="22"/>
              </w:rPr>
            </w:pPr>
            <w:r w:rsidRPr="008A6678">
              <w:rPr>
                <w:rFonts w:ascii="Calibri" w:hAnsi="Calibri" w:cs="Helvetica Neue"/>
                <w:color w:val="1A1A1A"/>
                <w:sz w:val="22"/>
                <w:szCs w:val="22"/>
              </w:rPr>
              <w:t>use appropriate mathematical language (notation, symbols, terminology)</w:t>
            </w:r>
          </w:p>
          <w:p w:rsidR="007D1B3D" w:rsidRPr="008A6678" w:rsidRDefault="007D1B3D" w:rsidP="007D1B3D">
            <w:pPr>
              <w:widowControl w:val="0"/>
              <w:numPr>
                <w:ilvl w:val="0"/>
                <w:numId w:val="1"/>
              </w:numPr>
              <w:tabs>
                <w:tab w:val="left" w:pos="258"/>
              </w:tabs>
              <w:autoSpaceDE w:val="0"/>
              <w:autoSpaceDN w:val="0"/>
              <w:adjustRightInd w:val="0"/>
              <w:spacing w:line="240" w:lineRule="auto"/>
              <w:ind w:left="258" w:hanging="258"/>
              <w:rPr>
                <w:rFonts w:ascii="Calibri" w:hAnsi="Calibri" w:cs="Helvetica Neue"/>
                <w:color w:val="1A1A1A"/>
                <w:sz w:val="22"/>
                <w:szCs w:val="22"/>
              </w:rPr>
            </w:pPr>
            <w:r w:rsidRPr="008A6678">
              <w:rPr>
                <w:rFonts w:ascii="Calibri" w:hAnsi="Calibri" w:cs="Helvetica Neue"/>
                <w:color w:val="1A1A1A"/>
                <w:sz w:val="22"/>
                <w:szCs w:val="22"/>
              </w:rPr>
              <w:t>define key terms, where required</w:t>
            </w:r>
          </w:p>
          <w:p w:rsidR="007D1B3D" w:rsidRPr="008A6678" w:rsidRDefault="007D1B3D" w:rsidP="007D1B3D">
            <w:pPr>
              <w:widowControl w:val="0"/>
              <w:numPr>
                <w:ilvl w:val="0"/>
                <w:numId w:val="1"/>
              </w:numPr>
              <w:tabs>
                <w:tab w:val="left" w:pos="258"/>
              </w:tabs>
              <w:autoSpaceDE w:val="0"/>
              <w:autoSpaceDN w:val="0"/>
              <w:adjustRightInd w:val="0"/>
              <w:spacing w:line="240" w:lineRule="auto"/>
              <w:ind w:left="258" w:hanging="258"/>
              <w:rPr>
                <w:rFonts w:ascii="Calibri" w:hAnsi="Calibri" w:cs="Helvetica Neue"/>
                <w:color w:val="1A1A1A"/>
                <w:sz w:val="22"/>
                <w:szCs w:val="22"/>
              </w:rPr>
            </w:pPr>
            <w:proofErr w:type="gramStart"/>
            <w:r w:rsidRPr="008A6678">
              <w:rPr>
                <w:rFonts w:ascii="Calibri" w:hAnsi="Calibri" w:cs="Helvetica Neue"/>
                <w:color w:val="1A1A1A"/>
                <w:sz w:val="22"/>
                <w:szCs w:val="22"/>
              </w:rPr>
              <w:t>use</w:t>
            </w:r>
            <w:proofErr w:type="gramEnd"/>
            <w:r w:rsidRPr="008A6678">
              <w:rPr>
                <w:rFonts w:ascii="Calibri" w:hAnsi="Calibri" w:cs="Helvetica Neue"/>
                <w:color w:val="1A1A1A"/>
                <w:sz w:val="22"/>
                <w:szCs w:val="22"/>
              </w:rPr>
              <w:t xml:space="preserve"> multiple forms of mathematical representation such as formulae, diagrams, tables, charts, graphs and models, where appropriate.</w:t>
            </w:r>
          </w:p>
          <w:p w:rsidR="007D1B3D" w:rsidRPr="008A6678" w:rsidRDefault="007D1B3D" w:rsidP="00852DD8">
            <w:pPr>
              <w:widowControl w:val="0"/>
              <w:autoSpaceDE w:val="0"/>
              <w:autoSpaceDN w:val="0"/>
              <w:adjustRightInd w:val="0"/>
              <w:spacing w:after="120"/>
              <w:rPr>
                <w:rFonts w:ascii="Calibri" w:hAnsi="Calibri" w:cs="Helvetica Neue"/>
                <w:color w:val="1A1A1A"/>
                <w:sz w:val="22"/>
                <w:szCs w:val="22"/>
              </w:rPr>
            </w:pPr>
            <w:r w:rsidRPr="008A6678">
              <w:rPr>
                <w:rFonts w:ascii="Calibri" w:hAnsi="Calibri" w:cs="Helvetica Neue"/>
                <w:iCs/>
                <w:color w:val="1A1A1A"/>
                <w:sz w:val="22"/>
                <w:szCs w:val="22"/>
              </w:rPr>
              <w:t>Students are expected to use mathematical language when communicating mathematical ideas, reasoning and findings.</w:t>
            </w:r>
          </w:p>
          <w:p w:rsidR="007D1B3D" w:rsidRPr="00DA1196" w:rsidRDefault="007D1B3D" w:rsidP="00852DD8">
            <w:pPr>
              <w:rPr>
                <w:rFonts w:ascii="Calibri" w:hAnsi="Calibri" w:cs="Helvetica Neue"/>
                <w:iCs/>
                <w:color w:val="1A1A1A"/>
                <w:sz w:val="22"/>
                <w:szCs w:val="22"/>
              </w:rPr>
            </w:pPr>
            <w:r w:rsidRPr="008A6678">
              <w:rPr>
                <w:rFonts w:ascii="Calibri" w:hAnsi="Calibri" w:cs="Helvetica Neue"/>
                <w:iCs/>
                <w:color w:val="1A1A1A"/>
                <w:sz w:val="22"/>
                <w:szCs w:val="22"/>
              </w:rPr>
              <w:t>Students are encouraged to choose and use appropriate ICT tools such as graphic display calculators, screenshots, graphing, spreadsheets, databases, drawing and word processing software, as appropriate, to enhance mathematical communication.</w:t>
            </w:r>
          </w:p>
        </w:tc>
        <w:tc>
          <w:tcPr>
            <w:tcW w:w="3618" w:type="dxa"/>
            <w:gridSpan w:val="2"/>
            <w:vMerge w:val="restart"/>
          </w:tcPr>
          <w:p w:rsidR="007D1B3D"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0</w:t>
            </w:r>
          </w:p>
        </w:tc>
        <w:tc>
          <w:tcPr>
            <w:tcW w:w="6930" w:type="dxa"/>
          </w:tcPr>
          <w:p w:rsidR="007D1B3D" w:rsidRPr="008A6678" w:rsidRDefault="007D1B3D" w:rsidP="00852DD8">
            <w:pPr>
              <w:rPr>
                <w:rFonts w:ascii="Calibri" w:hAnsi="Calibri"/>
                <w:sz w:val="22"/>
                <w:szCs w:val="22"/>
              </w:rPr>
            </w:pPr>
            <w:r w:rsidRPr="008A6678">
              <w:rPr>
                <w:rFonts w:ascii="Calibri" w:hAnsi="Calibri" w:cs="Calibri"/>
                <w:sz w:val="22"/>
                <w:szCs w:val="22"/>
              </w:rPr>
              <w:t>The exploration does not reach the standard described by the descriptors.</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1</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There is some appropriate mathematical presentation.</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2</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 mathematical presentation is mostly appropriate.</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3</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 mathematical presentation is appropriate throughout.</w:t>
            </w:r>
          </w:p>
        </w:tc>
        <w:tc>
          <w:tcPr>
            <w:tcW w:w="3618" w:type="dxa"/>
            <w:gridSpan w:val="2"/>
            <w:vMerge/>
            <w:tcBorders>
              <w:bottom w:val="nil"/>
            </w:tcBorders>
          </w:tcPr>
          <w:p w:rsidR="007D1B3D" w:rsidRPr="008A6678" w:rsidRDefault="007D1B3D" w:rsidP="00852DD8">
            <w:pPr>
              <w:rPr>
                <w:rFonts w:ascii="Calibri" w:hAnsi="Calibri"/>
                <w:sz w:val="22"/>
                <w:szCs w:val="22"/>
              </w:rPr>
            </w:pPr>
          </w:p>
        </w:tc>
      </w:tr>
      <w:tr w:rsidR="007D1B3D" w:rsidRPr="008A6678" w:rsidTr="00852DD8">
        <w:tc>
          <w:tcPr>
            <w:tcW w:w="7398" w:type="dxa"/>
            <w:gridSpan w:val="2"/>
          </w:tcPr>
          <w:p w:rsidR="007D1B3D" w:rsidRPr="008A6678" w:rsidRDefault="007D1B3D" w:rsidP="00852DD8">
            <w:pPr>
              <w:rPr>
                <w:rFonts w:ascii="Calibri" w:hAnsi="Calibri" w:cs="Calibri"/>
                <w:b/>
                <w:bCs/>
                <w:sz w:val="22"/>
                <w:szCs w:val="22"/>
              </w:rPr>
            </w:pPr>
            <w:r w:rsidRPr="008A6678">
              <w:rPr>
                <w:rFonts w:ascii="Calibri" w:hAnsi="Calibri" w:cs="Calibri"/>
                <w:b/>
                <w:bCs/>
                <w:sz w:val="22"/>
                <w:szCs w:val="22"/>
              </w:rPr>
              <w:t>C: PERSONAL ENGAGEMENT (4)</w:t>
            </w:r>
          </w:p>
          <w:p w:rsidR="007D1B3D" w:rsidRPr="00DA1196" w:rsidRDefault="007D1B3D" w:rsidP="00852DD8">
            <w:pPr>
              <w:rPr>
                <w:rFonts w:ascii="Calibri" w:hAnsi="Calibri" w:cs="Helvetica Neue"/>
                <w:color w:val="1A1A1A"/>
                <w:sz w:val="22"/>
                <w:szCs w:val="22"/>
              </w:rPr>
            </w:pPr>
            <w:r w:rsidRPr="008A6678">
              <w:rPr>
                <w:rFonts w:ascii="Calibri" w:hAnsi="Calibri" w:cs="Helvetica Neue"/>
                <w:color w:val="1A1A1A"/>
                <w:sz w:val="22"/>
                <w:szCs w:val="22"/>
              </w:rPr>
              <w:t>This criterion assesses the extent to which the student engages with the exploration and makes it their own. Personal engagement may be recognized in different attributes and skills. These include thinking independently and/or creatively, addressing personal interest and presenting mathematical ideas in their own way.</w:t>
            </w:r>
          </w:p>
        </w:tc>
        <w:tc>
          <w:tcPr>
            <w:tcW w:w="3618" w:type="dxa"/>
            <w:gridSpan w:val="2"/>
            <w:vMerge w:val="restart"/>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0</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 exploration does not reach the standard described by the descriptors.</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1</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There is evidence of limited or superficial personal engagement.</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2</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There is evidence of some personal engagement.</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3</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There is evidence of significant personal engagement.</w:t>
            </w:r>
          </w:p>
        </w:tc>
        <w:tc>
          <w:tcPr>
            <w:tcW w:w="3618" w:type="dxa"/>
            <w:gridSpan w:val="2"/>
            <w:vMerge/>
          </w:tcPr>
          <w:p w:rsidR="007D1B3D" w:rsidRPr="008A6678" w:rsidRDefault="007D1B3D" w:rsidP="00852DD8">
            <w:pPr>
              <w:rPr>
                <w:rFonts w:ascii="Calibri" w:hAnsi="Calibri"/>
                <w:sz w:val="22"/>
                <w:szCs w:val="22"/>
              </w:rPr>
            </w:pPr>
          </w:p>
        </w:tc>
      </w:tr>
      <w:tr w:rsidR="007D1B3D" w:rsidRPr="008A6678" w:rsidTr="00852DD8">
        <w:tc>
          <w:tcPr>
            <w:tcW w:w="468" w:type="dxa"/>
          </w:tcPr>
          <w:p w:rsidR="007D1B3D" w:rsidRPr="008A6678" w:rsidRDefault="007D1B3D" w:rsidP="00852DD8">
            <w:pPr>
              <w:rPr>
                <w:rFonts w:ascii="Calibri" w:hAnsi="Calibri"/>
                <w:sz w:val="22"/>
                <w:szCs w:val="22"/>
              </w:rPr>
            </w:pPr>
            <w:r w:rsidRPr="008A6678">
              <w:rPr>
                <w:rFonts w:ascii="Calibri" w:hAnsi="Calibri"/>
                <w:sz w:val="22"/>
                <w:szCs w:val="22"/>
              </w:rPr>
              <w:t>4</w:t>
            </w:r>
          </w:p>
        </w:tc>
        <w:tc>
          <w:tcPr>
            <w:tcW w:w="693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There is abundant evidence of outstanding personal engagement.</w:t>
            </w:r>
          </w:p>
        </w:tc>
        <w:tc>
          <w:tcPr>
            <w:tcW w:w="3618" w:type="dxa"/>
            <w:gridSpan w:val="2"/>
            <w:vMerge/>
          </w:tcPr>
          <w:p w:rsidR="007D1B3D" w:rsidRPr="008A6678" w:rsidRDefault="007D1B3D" w:rsidP="00852DD8">
            <w:pPr>
              <w:rPr>
                <w:rFonts w:ascii="Calibri" w:hAnsi="Calibri"/>
                <w:sz w:val="22"/>
                <w:szCs w:val="22"/>
              </w:rPr>
            </w:pPr>
          </w:p>
        </w:tc>
      </w:tr>
    </w:tbl>
    <w:p w:rsidR="00DA0709" w:rsidRDefault="00DA0709" w:rsidP="007D1B3D"/>
    <w:p w:rsidR="007D1B3D" w:rsidRDefault="007D1B3D" w:rsidP="00655744">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7320"/>
        <w:gridCol w:w="176"/>
        <w:gridCol w:w="2830"/>
      </w:tblGrid>
      <w:tr w:rsidR="007D1B3D" w:rsidRPr="008A6678" w:rsidTr="00440E4D">
        <w:tc>
          <w:tcPr>
            <w:tcW w:w="7784" w:type="dxa"/>
            <w:gridSpan w:val="2"/>
          </w:tcPr>
          <w:p w:rsidR="007D1B3D" w:rsidRPr="008A6678" w:rsidRDefault="007D1B3D" w:rsidP="00852DD8">
            <w:pPr>
              <w:rPr>
                <w:rFonts w:ascii="Calibri" w:hAnsi="Calibri" w:cs="Calibri"/>
                <w:b/>
                <w:bCs/>
                <w:sz w:val="22"/>
                <w:szCs w:val="22"/>
              </w:rPr>
            </w:pPr>
            <w:r w:rsidRPr="008A6678">
              <w:rPr>
                <w:rFonts w:ascii="Calibri" w:hAnsi="Calibri" w:cs="Calibri"/>
                <w:b/>
                <w:bCs/>
                <w:sz w:val="22"/>
                <w:szCs w:val="22"/>
              </w:rPr>
              <w:t>D: REFLECTION (3)</w:t>
            </w:r>
          </w:p>
          <w:p w:rsidR="007D1B3D" w:rsidRPr="00DA1196" w:rsidRDefault="007D1B3D" w:rsidP="00852DD8">
            <w:pPr>
              <w:rPr>
                <w:rFonts w:ascii="Calibri" w:hAnsi="Calibri" w:cs="Helvetica Neue"/>
                <w:color w:val="1A1A1A"/>
                <w:sz w:val="22"/>
                <w:szCs w:val="22"/>
              </w:rPr>
            </w:pPr>
            <w:r w:rsidRPr="008A6678">
              <w:rPr>
                <w:rFonts w:ascii="Calibri" w:hAnsi="Calibri" w:cs="Helvetica Neue"/>
                <w:color w:val="1A1A1A"/>
                <w:sz w:val="22"/>
                <w:szCs w:val="22"/>
              </w:rPr>
              <w:t>This criterion assesses how the student reviews, analyses and evaluates the exploration. Although reflection may be seen in the conclusion to the exploration, it may also be found throughout the exploration.</w:t>
            </w:r>
          </w:p>
        </w:tc>
        <w:tc>
          <w:tcPr>
            <w:tcW w:w="3006" w:type="dxa"/>
            <w:gridSpan w:val="2"/>
            <w:vMerge w:val="restart"/>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0</w:t>
            </w:r>
          </w:p>
        </w:tc>
        <w:tc>
          <w:tcPr>
            <w:tcW w:w="732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 exploration does not reach the standard described by the descriptors.</w:t>
            </w:r>
          </w:p>
        </w:tc>
        <w:tc>
          <w:tcPr>
            <w:tcW w:w="3006" w:type="dxa"/>
            <w:gridSpan w:val="2"/>
            <w:vMerge/>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1</w:t>
            </w:r>
          </w:p>
        </w:tc>
        <w:tc>
          <w:tcPr>
            <w:tcW w:w="732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There is evidence of limited or superficial reflection.</w:t>
            </w:r>
          </w:p>
        </w:tc>
        <w:tc>
          <w:tcPr>
            <w:tcW w:w="3006" w:type="dxa"/>
            <w:gridSpan w:val="2"/>
            <w:vMerge/>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2</w:t>
            </w:r>
          </w:p>
        </w:tc>
        <w:tc>
          <w:tcPr>
            <w:tcW w:w="732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There is evidence of meaningful reflection.</w:t>
            </w:r>
          </w:p>
        </w:tc>
        <w:tc>
          <w:tcPr>
            <w:tcW w:w="3006" w:type="dxa"/>
            <w:gridSpan w:val="2"/>
            <w:vMerge/>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3</w:t>
            </w:r>
          </w:p>
        </w:tc>
        <w:tc>
          <w:tcPr>
            <w:tcW w:w="7320" w:type="dxa"/>
          </w:tcPr>
          <w:p w:rsidR="007D1B3D" w:rsidRPr="008A6678" w:rsidRDefault="007D1B3D" w:rsidP="00852DD8">
            <w:pPr>
              <w:autoSpaceDE w:val="0"/>
              <w:autoSpaceDN w:val="0"/>
              <w:adjustRightInd w:val="0"/>
              <w:rPr>
                <w:rFonts w:ascii="Calibri" w:hAnsi="Calibri" w:cs="Calibri"/>
                <w:sz w:val="22"/>
                <w:szCs w:val="22"/>
              </w:rPr>
            </w:pPr>
            <w:r w:rsidRPr="008A6678">
              <w:rPr>
                <w:rFonts w:ascii="Calibri" w:hAnsi="Calibri" w:cs="Calibri"/>
                <w:sz w:val="22"/>
                <w:szCs w:val="22"/>
              </w:rPr>
              <w:t>There is substantial evidence of critical reflection.</w:t>
            </w:r>
          </w:p>
        </w:tc>
        <w:tc>
          <w:tcPr>
            <w:tcW w:w="3006" w:type="dxa"/>
            <w:gridSpan w:val="2"/>
            <w:vMerge/>
          </w:tcPr>
          <w:p w:rsidR="007D1B3D" w:rsidRPr="008A6678" w:rsidRDefault="007D1B3D" w:rsidP="00852DD8">
            <w:pPr>
              <w:rPr>
                <w:rFonts w:ascii="Calibri" w:hAnsi="Calibri"/>
                <w:sz w:val="22"/>
                <w:szCs w:val="22"/>
              </w:rPr>
            </w:pPr>
          </w:p>
        </w:tc>
      </w:tr>
      <w:tr w:rsidR="007D1B3D" w:rsidRPr="008A6678" w:rsidTr="00440E4D">
        <w:tc>
          <w:tcPr>
            <w:tcW w:w="10790" w:type="dxa"/>
            <w:gridSpan w:val="4"/>
          </w:tcPr>
          <w:p w:rsidR="007D1B3D" w:rsidRPr="00A8363E" w:rsidRDefault="007D1B3D" w:rsidP="00852DD8">
            <w:pPr>
              <w:widowControl w:val="0"/>
              <w:autoSpaceDE w:val="0"/>
              <w:autoSpaceDN w:val="0"/>
              <w:adjustRightInd w:val="0"/>
              <w:rPr>
                <w:rFonts w:ascii="Calibri" w:hAnsi="Calibri" w:cs="Calibri"/>
                <w:b/>
                <w:bCs/>
                <w:sz w:val="22"/>
                <w:szCs w:val="22"/>
              </w:rPr>
            </w:pPr>
            <w:r w:rsidRPr="00A8363E">
              <w:rPr>
                <w:rFonts w:ascii="Calibri" w:hAnsi="Calibri" w:cs="Calibri"/>
                <w:b/>
                <w:bCs/>
                <w:sz w:val="22"/>
                <w:szCs w:val="22"/>
              </w:rPr>
              <w:t xml:space="preserve">E: USE OF MATHEMATICS (6)   </w:t>
            </w:r>
          </w:p>
          <w:p w:rsidR="007D1B3D" w:rsidRPr="00A8363E" w:rsidRDefault="007D1B3D" w:rsidP="00852DD8">
            <w:pPr>
              <w:widowControl w:val="0"/>
              <w:autoSpaceDE w:val="0"/>
              <w:autoSpaceDN w:val="0"/>
              <w:adjustRightInd w:val="0"/>
              <w:spacing w:after="120"/>
              <w:rPr>
                <w:rFonts w:ascii="Calibri" w:hAnsi="Calibri" w:cs="Helvetica Neue"/>
                <w:b/>
                <w:color w:val="1A1A1A"/>
                <w:sz w:val="22"/>
                <w:szCs w:val="22"/>
              </w:rPr>
            </w:pPr>
            <w:r w:rsidRPr="00A8363E">
              <w:rPr>
                <w:rFonts w:ascii="Calibri" w:hAnsi="Calibri" w:cs="Helvetica Neue"/>
                <w:color w:val="1A1A1A"/>
                <w:sz w:val="22"/>
                <w:szCs w:val="22"/>
              </w:rPr>
              <w:t>This criterion assesses to what extent and how well students use mathematics in the exploration.</w:t>
            </w:r>
            <w:r w:rsidRPr="00A8363E">
              <w:rPr>
                <w:rFonts w:ascii="Calibri" w:hAnsi="Calibri" w:cs="Helvetica Neue"/>
                <w:b/>
                <w:color w:val="1A1A1A"/>
                <w:sz w:val="22"/>
                <w:szCs w:val="22"/>
              </w:rPr>
              <w:t xml:space="preserve"> </w:t>
            </w:r>
          </w:p>
          <w:p w:rsidR="007D1B3D" w:rsidRPr="00A8363E" w:rsidRDefault="007D1B3D" w:rsidP="00852DD8">
            <w:pPr>
              <w:widowControl w:val="0"/>
              <w:autoSpaceDE w:val="0"/>
              <w:autoSpaceDN w:val="0"/>
              <w:adjustRightInd w:val="0"/>
              <w:spacing w:after="120"/>
              <w:rPr>
                <w:rFonts w:ascii="Calibri" w:hAnsi="Calibri" w:cs="Helvetica Neue"/>
                <w:color w:val="1A1A1A"/>
                <w:sz w:val="22"/>
                <w:szCs w:val="22"/>
              </w:rPr>
            </w:pPr>
            <w:r w:rsidRPr="00A8363E">
              <w:rPr>
                <w:rFonts w:ascii="Calibri" w:hAnsi="Calibri" w:cs="Helvetica Neue"/>
                <w:iCs/>
                <w:color w:val="1A1A1A"/>
                <w:sz w:val="22"/>
                <w:szCs w:val="22"/>
              </w:rPr>
              <w:t>Students are expected to produce work that is commensurate with the level of the course. The mathematics explored should either be part of the syllabus, or at a similar level or beyond. It should not be completely based on mathematics listed in the prior learning. If the level of mathematics is not commensurate with the level of the course, a maximum of two marks can be awarded for this criterion.</w:t>
            </w:r>
          </w:p>
          <w:p w:rsidR="007D1B3D" w:rsidRPr="00A8363E" w:rsidRDefault="007D1B3D" w:rsidP="00852DD8">
            <w:pPr>
              <w:rPr>
                <w:rFonts w:ascii="Calibri" w:hAnsi="Calibri" w:cs="Helvetica Neue"/>
                <w:iCs/>
                <w:color w:val="1A1A1A"/>
                <w:sz w:val="22"/>
                <w:szCs w:val="22"/>
              </w:rPr>
            </w:pPr>
            <w:r w:rsidRPr="00A8363E">
              <w:rPr>
                <w:rFonts w:ascii="Calibri" w:hAnsi="Calibri" w:cs="Helvetica Neue"/>
                <w:iCs/>
                <w:color w:val="1A1A1A"/>
                <w:sz w:val="22"/>
                <w:szCs w:val="22"/>
              </w:rPr>
              <w:t>A piece of mathematics can be regarded as correct even if there are occasional minor errors as long as they do not detract from the flow of the mathematics or lead to an unreasonable outcome.</w:t>
            </w:r>
          </w:p>
          <w:p w:rsidR="007D1B3D" w:rsidRPr="00A8363E" w:rsidRDefault="007D1B3D" w:rsidP="00852DD8">
            <w:pPr>
              <w:pStyle w:val="ListParagraph"/>
              <w:autoSpaceDE w:val="0"/>
              <w:autoSpaceDN w:val="0"/>
              <w:adjustRightInd w:val="0"/>
              <w:spacing w:before="120"/>
              <w:ind w:left="0"/>
              <w:rPr>
                <w:rFonts w:ascii="Calibri" w:hAnsi="Calibri"/>
                <w:sz w:val="22"/>
                <w:szCs w:val="22"/>
              </w:rPr>
            </w:pPr>
            <w:r w:rsidRPr="00A8363E">
              <w:rPr>
                <w:rFonts w:ascii="Calibri" w:hAnsi="Calibri" w:cs="Calibri"/>
                <w:b/>
                <w:iCs/>
                <w:sz w:val="22"/>
                <w:szCs w:val="22"/>
              </w:rPr>
              <w:t>Sophistication</w:t>
            </w:r>
            <w:r w:rsidRPr="00A8363E">
              <w:rPr>
                <w:rFonts w:ascii="Calibri" w:hAnsi="Calibri" w:cs="Calibri"/>
                <w:iCs/>
                <w:sz w:val="22"/>
                <w:szCs w:val="22"/>
              </w:rPr>
              <w:t xml:space="preserve"> in mathematics may include understanding and use of challenging mathematical concepts, looking at a problem from different perspectives and seeing underlying structures to link different areas of mathematics.  </w:t>
            </w:r>
            <w:r w:rsidRPr="00A8363E">
              <w:rPr>
                <w:rFonts w:ascii="Calibri" w:hAnsi="Calibri" w:cs="Calibri"/>
                <w:b/>
                <w:iCs/>
                <w:sz w:val="22"/>
                <w:szCs w:val="22"/>
              </w:rPr>
              <w:t>Rigor</w:t>
            </w:r>
            <w:r w:rsidRPr="00A8363E">
              <w:rPr>
                <w:rFonts w:ascii="Calibri" w:hAnsi="Calibri" w:cs="Calibri"/>
                <w:iCs/>
                <w:sz w:val="22"/>
                <w:szCs w:val="22"/>
              </w:rPr>
              <w:t xml:space="preserve"> involves clarity of logic and language when making mathematical arguments and calculations. </w:t>
            </w:r>
            <w:r w:rsidRPr="00A8363E">
              <w:rPr>
                <w:rFonts w:ascii="Calibri" w:hAnsi="Calibri" w:cs="Calibri"/>
                <w:b/>
                <w:iCs/>
                <w:sz w:val="22"/>
                <w:szCs w:val="22"/>
              </w:rPr>
              <w:t>Precise</w:t>
            </w:r>
            <w:r w:rsidRPr="00A8363E">
              <w:rPr>
                <w:rFonts w:ascii="Calibri" w:hAnsi="Calibri" w:cs="Calibri"/>
                <w:iCs/>
                <w:sz w:val="22"/>
                <w:szCs w:val="22"/>
              </w:rPr>
              <w:t xml:space="preserve"> mathematics is error-free and uses an appropriate level of accuracy at all times.</w:t>
            </w: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0</w:t>
            </w:r>
          </w:p>
        </w:tc>
        <w:tc>
          <w:tcPr>
            <w:tcW w:w="7496" w:type="dxa"/>
            <w:gridSpan w:val="2"/>
          </w:tcPr>
          <w:p w:rsidR="007D1B3D" w:rsidRPr="00A8363E" w:rsidRDefault="007D1B3D" w:rsidP="00852DD8">
            <w:pPr>
              <w:rPr>
                <w:rFonts w:ascii="Calibri" w:hAnsi="Calibri" w:cs="Calibri"/>
                <w:sz w:val="22"/>
                <w:szCs w:val="22"/>
              </w:rPr>
            </w:pPr>
            <w:r w:rsidRPr="00A8363E">
              <w:rPr>
                <w:rFonts w:ascii="Calibri" w:hAnsi="Calibri" w:cs="Calibri"/>
                <w:sz w:val="22"/>
                <w:szCs w:val="22"/>
              </w:rPr>
              <w:t>The exploration does not reach the standard described by the descriptors.</w:t>
            </w:r>
          </w:p>
        </w:tc>
        <w:tc>
          <w:tcPr>
            <w:tcW w:w="2830" w:type="dxa"/>
            <w:vMerge w:val="restart"/>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1</w:t>
            </w:r>
          </w:p>
        </w:tc>
        <w:tc>
          <w:tcPr>
            <w:tcW w:w="7496" w:type="dxa"/>
            <w:gridSpan w:val="2"/>
          </w:tcPr>
          <w:p w:rsidR="007D1B3D" w:rsidRPr="00A8363E" w:rsidRDefault="007D1B3D" w:rsidP="00852DD8">
            <w:pPr>
              <w:autoSpaceDE w:val="0"/>
              <w:autoSpaceDN w:val="0"/>
              <w:adjustRightInd w:val="0"/>
              <w:rPr>
                <w:rFonts w:ascii="Calibri" w:hAnsi="Calibri" w:cs="Calibri"/>
                <w:sz w:val="22"/>
                <w:szCs w:val="22"/>
              </w:rPr>
            </w:pPr>
            <w:r w:rsidRPr="00A8363E">
              <w:rPr>
                <w:rFonts w:ascii="Calibri" w:hAnsi="Calibri" w:cs="Calibri"/>
                <w:sz w:val="22"/>
                <w:szCs w:val="22"/>
              </w:rPr>
              <w:t>Some relevant mathematics is used. Limited understanding is demonstrated.</w:t>
            </w:r>
          </w:p>
        </w:tc>
        <w:tc>
          <w:tcPr>
            <w:tcW w:w="2830" w:type="dxa"/>
            <w:vMerge/>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2</w:t>
            </w:r>
          </w:p>
        </w:tc>
        <w:tc>
          <w:tcPr>
            <w:tcW w:w="7496" w:type="dxa"/>
            <w:gridSpan w:val="2"/>
          </w:tcPr>
          <w:p w:rsidR="007D1B3D" w:rsidRPr="00A8363E" w:rsidRDefault="007D1B3D" w:rsidP="00852DD8">
            <w:pPr>
              <w:autoSpaceDE w:val="0"/>
              <w:autoSpaceDN w:val="0"/>
              <w:adjustRightInd w:val="0"/>
              <w:rPr>
                <w:rFonts w:ascii="Calibri" w:hAnsi="Calibri" w:cs="Calibri"/>
                <w:sz w:val="22"/>
                <w:szCs w:val="22"/>
              </w:rPr>
            </w:pPr>
            <w:r w:rsidRPr="00A8363E">
              <w:rPr>
                <w:rFonts w:ascii="Calibri" w:hAnsi="Calibri" w:cs="Calibri"/>
                <w:sz w:val="22"/>
                <w:szCs w:val="22"/>
              </w:rPr>
              <w:t>Some relevant mathematics is used. The mathematics explored is partially correct. Some knowledge and understanding are demonstrated.</w:t>
            </w:r>
          </w:p>
        </w:tc>
        <w:tc>
          <w:tcPr>
            <w:tcW w:w="2830" w:type="dxa"/>
            <w:vMerge/>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3</w:t>
            </w:r>
          </w:p>
        </w:tc>
        <w:tc>
          <w:tcPr>
            <w:tcW w:w="7496" w:type="dxa"/>
            <w:gridSpan w:val="2"/>
          </w:tcPr>
          <w:p w:rsidR="007D1B3D" w:rsidRPr="00A8363E" w:rsidRDefault="007D1B3D" w:rsidP="00852DD8">
            <w:pPr>
              <w:autoSpaceDE w:val="0"/>
              <w:autoSpaceDN w:val="0"/>
              <w:adjustRightInd w:val="0"/>
              <w:rPr>
                <w:rFonts w:ascii="Calibri" w:hAnsi="Calibri" w:cs="Calibri"/>
                <w:sz w:val="22"/>
                <w:szCs w:val="22"/>
              </w:rPr>
            </w:pPr>
            <w:r w:rsidRPr="00A8363E">
              <w:rPr>
                <w:rFonts w:ascii="Calibri" w:hAnsi="Calibri" w:cs="Calibri"/>
                <w:sz w:val="22"/>
                <w:szCs w:val="22"/>
              </w:rPr>
              <w:t>Relevant mathematics commensurate with the level of the course is used. The mathematics explored is correct. Good knowledge and understanding are demonstrated.</w:t>
            </w:r>
          </w:p>
        </w:tc>
        <w:tc>
          <w:tcPr>
            <w:tcW w:w="2830" w:type="dxa"/>
            <w:vMerge/>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4</w:t>
            </w:r>
          </w:p>
        </w:tc>
        <w:tc>
          <w:tcPr>
            <w:tcW w:w="7496" w:type="dxa"/>
            <w:gridSpan w:val="2"/>
          </w:tcPr>
          <w:p w:rsidR="007D1B3D" w:rsidRPr="00A8363E" w:rsidRDefault="007D1B3D" w:rsidP="00852DD8">
            <w:pPr>
              <w:autoSpaceDE w:val="0"/>
              <w:autoSpaceDN w:val="0"/>
              <w:adjustRightInd w:val="0"/>
              <w:rPr>
                <w:rFonts w:ascii="Calibri" w:hAnsi="Calibri" w:cs="Calibri"/>
                <w:sz w:val="22"/>
                <w:szCs w:val="22"/>
              </w:rPr>
            </w:pPr>
            <w:r w:rsidRPr="00A8363E">
              <w:rPr>
                <w:rFonts w:ascii="Calibri" w:hAnsi="Calibri" w:cs="Calibri"/>
                <w:sz w:val="22"/>
                <w:szCs w:val="22"/>
              </w:rPr>
              <w:t>Relevant mathematics commensurate with the level of the course is used. The mathematics explored is correct and reflects the sophistication expected. Good knowledge and understanding are demonstrated.</w:t>
            </w:r>
          </w:p>
        </w:tc>
        <w:tc>
          <w:tcPr>
            <w:tcW w:w="2830" w:type="dxa"/>
            <w:vMerge/>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5</w:t>
            </w:r>
          </w:p>
        </w:tc>
        <w:tc>
          <w:tcPr>
            <w:tcW w:w="7496" w:type="dxa"/>
            <w:gridSpan w:val="2"/>
          </w:tcPr>
          <w:p w:rsidR="007D1B3D" w:rsidRPr="00A8363E" w:rsidRDefault="007D1B3D" w:rsidP="00852DD8">
            <w:pPr>
              <w:autoSpaceDE w:val="0"/>
              <w:autoSpaceDN w:val="0"/>
              <w:adjustRightInd w:val="0"/>
              <w:rPr>
                <w:rFonts w:ascii="Calibri" w:hAnsi="Calibri" w:cs="Calibri"/>
                <w:sz w:val="22"/>
                <w:szCs w:val="22"/>
              </w:rPr>
            </w:pPr>
            <w:r w:rsidRPr="00A8363E">
              <w:rPr>
                <w:rFonts w:ascii="Calibri" w:hAnsi="Calibri" w:cs="Calibri"/>
                <w:sz w:val="22"/>
                <w:szCs w:val="22"/>
              </w:rPr>
              <w:t>Relevant mathematics commensurate with the level of the course is used. The mathematics explored is correct and reflects the sophistication and rigor expected. Thorough knowledge and understanding are demonstrated.</w:t>
            </w:r>
          </w:p>
        </w:tc>
        <w:tc>
          <w:tcPr>
            <w:tcW w:w="2830" w:type="dxa"/>
            <w:vMerge/>
          </w:tcPr>
          <w:p w:rsidR="007D1B3D" w:rsidRPr="008A6678" w:rsidRDefault="007D1B3D" w:rsidP="00852DD8">
            <w:pPr>
              <w:rPr>
                <w:rFonts w:ascii="Calibri" w:hAnsi="Calibri"/>
                <w:sz w:val="22"/>
                <w:szCs w:val="22"/>
              </w:rPr>
            </w:pPr>
          </w:p>
        </w:tc>
      </w:tr>
      <w:tr w:rsidR="007D1B3D" w:rsidRPr="008A6678" w:rsidTr="00440E4D">
        <w:tc>
          <w:tcPr>
            <w:tcW w:w="464" w:type="dxa"/>
          </w:tcPr>
          <w:p w:rsidR="007D1B3D" w:rsidRPr="008A6678" w:rsidRDefault="007D1B3D" w:rsidP="00852DD8">
            <w:pPr>
              <w:rPr>
                <w:rFonts w:ascii="Calibri" w:hAnsi="Calibri"/>
                <w:sz w:val="22"/>
                <w:szCs w:val="22"/>
              </w:rPr>
            </w:pPr>
            <w:r w:rsidRPr="008A6678">
              <w:rPr>
                <w:rFonts w:ascii="Calibri" w:hAnsi="Calibri"/>
                <w:sz w:val="22"/>
                <w:szCs w:val="22"/>
              </w:rPr>
              <w:t>6</w:t>
            </w:r>
          </w:p>
        </w:tc>
        <w:tc>
          <w:tcPr>
            <w:tcW w:w="7496" w:type="dxa"/>
            <w:gridSpan w:val="2"/>
          </w:tcPr>
          <w:p w:rsidR="007D1B3D" w:rsidRPr="00A8363E" w:rsidRDefault="007D1B3D" w:rsidP="00852DD8">
            <w:pPr>
              <w:autoSpaceDE w:val="0"/>
              <w:autoSpaceDN w:val="0"/>
              <w:adjustRightInd w:val="0"/>
              <w:rPr>
                <w:rFonts w:ascii="Calibri" w:hAnsi="Calibri" w:cs="Calibri"/>
                <w:sz w:val="22"/>
                <w:szCs w:val="22"/>
              </w:rPr>
            </w:pPr>
            <w:r w:rsidRPr="00A8363E">
              <w:rPr>
                <w:rFonts w:ascii="Calibri" w:hAnsi="Calibri" w:cs="Calibri"/>
                <w:sz w:val="22"/>
                <w:szCs w:val="22"/>
              </w:rPr>
              <w:t>Relevant mathematics commensurate with the level of the course is used. The mathematics explored is precise and reflects the sophistication and rigor expected. Thorough knowledge and understanding are demonstrated.</w:t>
            </w:r>
          </w:p>
        </w:tc>
        <w:tc>
          <w:tcPr>
            <w:tcW w:w="2830" w:type="dxa"/>
            <w:vMerge/>
          </w:tcPr>
          <w:p w:rsidR="007D1B3D" w:rsidRPr="008A6678" w:rsidRDefault="007D1B3D" w:rsidP="00852DD8">
            <w:pPr>
              <w:rPr>
                <w:rFonts w:ascii="Calibri" w:hAnsi="Calibri"/>
                <w:sz w:val="22"/>
                <w:szCs w:val="22"/>
              </w:rPr>
            </w:pPr>
          </w:p>
        </w:tc>
      </w:tr>
    </w:tbl>
    <w:p w:rsidR="00DD5B44" w:rsidRDefault="00DD5B44"/>
    <w:sectPr w:rsidR="00DD5B44" w:rsidSect="00CB3CF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3D"/>
    <w:rsid w:val="00191FD8"/>
    <w:rsid w:val="002C7B23"/>
    <w:rsid w:val="004023A7"/>
    <w:rsid w:val="00440E4D"/>
    <w:rsid w:val="00655744"/>
    <w:rsid w:val="00714F58"/>
    <w:rsid w:val="00727EAC"/>
    <w:rsid w:val="0075378D"/>
    <w:rsid w:val="007D1B3D"/>
    <w:rsid w:val="00A8363E"/>
    <w:rsid w:val="00C36FB0"/>
    <w:rsid w:val="00C810CB"/>
    <w:rsid w:val="00D02315"/>
    <w:rsid w:val="00DA0709"/>
    <w:rsid w:val="00DD5B44"/>
    <w:rsid w:val="00E473CC"/>
    <w:rsid w:val="00F5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DBFD"/>
  <w15:docId w15:val="{AA585462-8288-45BC-A88C-EA01D10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3D"/>
    <w:pPr>
      <w:spacing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3D"/>
    <w:pPr>
      <w:spacing w:line="240" w:lineRule="auto"/>
      <w:ind w:left="720"/>
      <w:contextualSpacing/>
    </w:pPr>
    <w:rPr>
      <w:rFonts w:eastAsia="MS Mincho"/>
    </w:rPr>
  </w:style>
  <w:style w:type="paragraph" w:styleId="BalloonText">
    <w:name w:val="Balloon Text"/>
    <w:basedOn w:val="Normal"/>
    <w:link w:val="BalloonTextChar"/>
    <w:uiPriority w:val="99"/>
    <w:semiHidden/>
    <w:unhideWhenUsed/>
    <w:rsid w:val="00E473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C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Reinsch, Marisa    SHS-Staff</dc:creator>
  <cp:lastModifiedBy>Shim, Hearan    SHS-Staff</cp:lastModifiedBy>
  <cp:revision>3</cp:revision>
  <cp:lastPrinted>2017-09-27T16:49:00Z</cp:lastPrinted>
  <dcterms:created xsi:type="dcterms:W3CDTF">2017-09-27T16:46:00Z</dcterms:created>
  <dcterms:modified xsi:type="dcterms:W3CDTF">2017-09-27T17:06:00Z</dcterms:modified>
</cp:coreProperties>
</file>